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01" w:firstLineChars="200"/>
        <w:jc w:val="center"/>
        <w:rPr>
          <w:rFonts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东南大学马克思主义学院研究生国家奖学金评审办法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根据《东南大学研究生国家奖学金管理暂行办法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修订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》（校〔20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〕1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号）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以下简称《管理办法》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规定，结合学院实际，现制定马克思主义学院研究生国家奖学金评审办法。</w:t>
      </w:r>
    </w:p>
    <w:p>
      <w:pPr>
        <w:widowControl w:val="0"/>
        <w:spacing w:line="560" w:lineRule="exact"/>
        <w:ind w:firstLine="561" w:firstLineChars="200"/>
        <w:rPr>
          <w:rFonts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一、参评对象及条件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1.研究生国家奖学金每年评审一次，凡在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培养计划规定学制内正式取得学籍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、完成注册并符合下列申请条件的全日制非定向研究生均有资格申请，不含休学期间的研究生。本科直博研究生按《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管理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办法》相关规定申请。</w:t>
      </w:r>
    </w:p>
    <w:p>
      <w:pPr>
        <w:widowControl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2.研究生国家奖学金申请基本条件：</w:t>
      </w:r>
    </w:p>
    <w:p>
      <w:pPr>
        <w:widowControl w:val="0"/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具有中华人民共和国国籍；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）热爱祖国，拥护中国共产党的领导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）遵守宪法和法律，遵守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高等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学校规章制度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>
      <w:pPr>
        <w:widowControl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）诚实守信，道德品质优良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学习成绩优异，科研能力显著，发展潜力突出。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其中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参评的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硕士生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应按培养计划要求，修完相应必修课程学分，且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规格化成绩位于所在院（系、所）前25%。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参评的研究生，已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参加中期考核者须考核通过。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3.如在道德风尚、科学研究、学科竞赛、创新发明、社会实践、社会工作等某一方面表现特别优秀，满足下列条件之一，可破格申请国家奖学金（以下荣誉或成果需在研究生在读期间获得）：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（1）在弘扬和践行社会主义核心价值观方面发挥先锋模范作用，表现突出，在本校、本地区产生重大影响，在全国产生较大影响，有助于树立良好的社会风尚，获得中国青年五四奖章、全国十大杰出青年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中国大学生年度人物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等全国性荣誉称号。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（2）在科学研究中取得突出成绩。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经学院评审委员会认定的，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研究生以第一作者正式发表的高水平论文；以第一、第二作者出版的学术专著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博士生作为主要完成人获得省部级一等奖及以上科研成果（含自然科学/技术发明/科技进步），硕士生作为主要完成人获得省部级二等及以上科研成果（含自然科学/技术发明/科技进步）。成果认定截止时间为202</w:t>
      </w:r>
      <w:r>
        <w:rPr>
          <w:rFonts w:hint="default" w:ascii="宋体" w:hAnsi="宋体" w:eastAsia="宋体" w:cs="宋体"/>
          <w:sz w:val="28"/>
          <w:szCs w:val="28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年9月30日（含9月30日）。</w:t>
      </w:r>
    </w:p>
    <w:p>
      <w:pPr>
        <w:widowControl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（3）在学科竞赛中取得突出成绩，参加国际或全国性学科竞赛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挑战杯课外学术科技作品竞赛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、中国“互联网+”大学生创新创业大赛等竞赛中获得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等奖的第1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和第2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获奖人、获得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等奖的第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获奖人。</w:t>
      </w:r>
    </w:p>
    <w:p>
      <w:pPr>
        <w:widowControl w:val="0"/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体育竞赛中取得显著成绩，为国家争得荣誉。非体育专业学生参加省级以上体育比赛获得个人项目前三名，集体项目前二名；体育专业学生参加国际或全国性体育比赛获得个人项目前三名、集体项目前二名。集体项目应为上场主力队员。</w:t>
      </w:r>
    </w:p>
    <w:p>
      <w:pPr>
        <w:widowControl w:val="0"/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艺术展演方面取得显著成绩。参加全国大学生艺术展演获得一、二等奖，参加省级艺术展演获得一等奖；艺术类专业学生参加国际或全国性比赛获得前三名。集体项目应为主要演员（须通过艺术指导中心专家认定）。</w:t>
      </w:r>
    </w:p>
    <w:p>
      <w:pPr>
        <w:widowControl w:val="0"/>
        <w:spacing w:line="560" w:lineRule="exact"/>
        <w:ind w:left="394" w:leftChars="179" w:firstLine="280" w:firstLineChars="100"/>
        <w:rPr>
          <w:rFonts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二、申请材料及评分标准</w:t>
      </w:r>
    </w:p>
    <w:p>
      <w:pPr>
        <w:widowControl w:val="0"/>
        <w:spacing w:line="56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1、课程成绩以研究生院提供的规格化成绩单为准，占比</w:t>
      </w:r>
      <w:r>
        <w:rPr>
          <w:rFonts w:hint="eastAsia" w:ascii="宋体" w:hAnsi="宋体" w:cs="宋体"/>
          <w:sz w:val="28"/>
          <w:szCs w:val="28"/>
          <w:highlight w:val="none"/>
        </w:rPr>
        <w:t>30%。</w:t>
      </w:r>
    </w:p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2、科研成果，占比50%。</w:t>
      </w:r>
    </w:p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（1）省级以上学术刊物普通论文5/篇；C扩及核心期刊10/篇;CSSCI论文15/篇；权威期刊、SSCI及A&amp;HCI30/篇，以上论文必须以东南大学名义发表。</w:t>
      </w:r>
    </w:p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sz w:val="28"/>
          <w:szCs w:val="28"/>
          <w:highlight w:val="none"/>
        </w:rPr>
        <w:t>）</w:t>
      </w:r>
      <w:bookmarkStart w:id="0" w:name="_Hlk82545642"/>
      <w:r>
        <w:rPr>
          <w:rFonts w:hint="eastAsia" w:ascii="宋体" w:hAnsi="宋体" w:cs="宋体"/>
          <w:sz w:val="28"/>
          <w:szCs w:val="28"/>
          <w:highlight w:val="none"/>
        </w:rPr>
        <w:t>党报党刊：中央级媒体15/篇；省级媒体10/篇；市级媒体5/篇。</w:t>
      </w:r>
    </w:p>
    <w:bookmarkEnd w:id="0"/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（3）</w:t>
      </w:r>
      <w:bookmarkStart w:id="1" w:name="_Hlk82545744"/>
      <w:r>
        <w:rPr>
          <w:rFonts w:hint="eastAsia" w:ascii="宋体" w:hAnsi="宋体" w:cs="宋体"/>
          <w:sz w:val="28"/>
          <w:szCs w:val="28"/>
          <w:highlight w:val="none"/>
        </w:rPr>
        <w:t>决策咨询报告：国家级批示或采纳30/篇；省级批示或采纳15/篇；市级批示或采纳10/篇。</w:t>
      </w:r>
      <w:bookmarkEnd w:id="1"/>
    </w:p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bookmarkStart w:id="2" w:name="_Hlk82546324"/>
      <w:r>
        <w:rPr>
          <w:rFonts w:hint="eastAsia" w:ascii="宋体" w:hAnsi="宋体" w:cs="宋体"/>
          <w:sz w:val="28"/>
          <w:szCs w:val="28"/>
          <w:highlight w:val="none"/>
        </w:rPr>
        <w:t>（须发表本学科领域研究论文、理论文章、决策报告，党报党刊系理论版2</w:t>
      </w:r>
      <w:r>
        <w:rPr>
          <w:rFonts w:ascii="宋体" w:hAnsi="宋体" w:cs="宋体"/>
          <w:sz w:val="28"/>
          <w:szCs w:val="28"/>
          <w:highlight w:val="none"/>
        </w:rPr>
        <w:t>000</w:t>
      </w:r>
      <w:r>
        <w:rPr>
          <w:rFonts w:hint="eastAsia" w:ascii="宋体" w:hAnsi="宋体" w:cs="宋体"/>
          <w:sz w:val="28"/>
          <w:szCs w:val="28"/>
          <w:highlight w:val="none"/>
        </w:rPr>
        <w:t>字以上学术论文，本人第一作者或导师第一作者、本人第二作者）</w:t>
      </w:r>
    </w:p>
    <w:bookmarkEnd w:id="2"/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4</w:t>
      </w:r>
      <w:r>
        <w:rPr>
          <w:rFonts w:hint="eastAsia" w:ascii="宋体" w:hAnsi="宋体" w:cs="宋体"/>
          <w:sz w:val="28"/>
          <w:szCs w:val="28"/>
          <w:highlight w:val="none"/>
        </w:rPr>
        <w:t>）主持课题：省级以上30/项；省级20/项；校级10/项。</w:t>
      </w:r>
    </w:p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）参加校际学术交流活动：会议收录1/场；会议报告1/场</w:t>
      </w:r>
      <w:bookmarkStart w:id="3" w:name="_Hlk82546031"/>
      <w:r>
        <w:rPr>
          <w:rFonts w:hint="eastAsia" w:ascii="宋体" w:hAnsi="宋体" w:cs="宋体"/>
          <w:sz w:val="28"/>
          <w:szCs w:val="28"/>
          <w:highlight w:val="none"/>
        </w:rPr>
        <w:t>（此两项可叠加，5分上限）</w:t>
      </w:r>
      <w:bookmarkEnd w:id="3"/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（6）科研获奖：国家级最高奖30/项；省部级最高奖15/项；校级最高奖3/项；其他高校、社会组织学术成果奖 2/项。同类不同等级奖项采取级差降分，省部级及以上-2，校级-0.5，其他高校、社会组织学术成果奖无级差；若团队获奖，分数由团队负责人分配。</w:t>
      </w:r>
    </w:p>
    <w:p>
      <w:pPr>
        <w:widowControl w:val="0"/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3、马克思主义学院研究生综合素养积分学年考核（见附件</w:t>
      </w:r>
      <w:r>
        <w:rPr>
          <w:rFonts w:ascii="宋体" w:hAnsi="宋体" w:cs="宋体"/>
          <w:sz w:val="28"/>
          <w:szCs w:val="28"/>
          <w:highlight w:val="none"/>
        </w:rPr>
        <w:t>1</w:t>
      </w:r>
      <w:r>
        <w:rPr>
          <w:rFonts w:hint="eastAsia" w:ascii="宋体" w:hAnsi="宋体" w:cs="宋体"/>
          <w:sz w:val="28"/>
          <w:szCs w:val="28"/>
          <w:highlight w:val="none"/>
        </w:rPr>
        <w:t>，折算为百分制），占比20%。</w:t>
      </w:r>
    </w:p>
    <w:p>
      <w:pPr>
        <w:spacing w:line="560" w:lineRule="exact"/>
        <w:ind w:firstLine="565" w:firstLineChars="202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4、论文等科研成果发表时间截止到202</w:t>
      </w:r>
      <w:r>
        <w:rPr>
          <w:rFonts w:hint="default" w:ascii="宋体" w:hAnsi="宋体" w:cs="宋体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年9月</w:t>
      </w:r>
      <w:r>
        <w:rPr>
          <w:rFonts w:ascii="宋体" w:hAnsi="宋体" w:cs="宋体"/>
          <w:sz w:val="28"/>
          <w:szCs w:val="28"/>
          <w:highlight w:val="none"/>
        </w:rPr>
        <w:t>30</w:t>
      </w:r>
      <w:r>
        <w:rPr>
          <w:rFonts w:hint="eastAsia" w:ascii="宋体" w:hAnsi="宋体" w:cs="宋体"/>
          <w:sz w:val="28"/>
          <w:szCs w:val="28"/>
          <w:highlight w:val="none"/>
        </w:rPr>
        <w:t>日，已获得研究生国家奖学金者，其申请成果不得作为再次申请时的成果使用。</w:t>
      </w:r>
    </w:p>
    <w:p>
      <w:pPr>
        <w:spacing w:line="560" w:lineRule="exact"/>
        <w:ind w:firstLine="841" w:firstLineChars="300"/>
        <w:rPr>
          <w:rFonts w:ascii="仿宋_GB2312"/>
          <w:b/>
          <w:sz w:val="28"/>
          <w:szCs w:val="28"/>
          <w:highlight w:val="none"/>
        </w:rPr>
      </w:pPr>
      <w:r>
        <w:rPr>
          <w:rFonts w:hint="eastAsia" w:ascii="仿宋_GB2312"/>
          <w:b/>
          <w:sz w:val="28"/>
          <w:szCs w:val="28"/>
          <w:highlight w:val="none"/>
        </w:rPr>
        <w:t>三、评审程序</w:t>
      </w:r>
    </w:p>
    <w:p>
      <w:pPr>
        <w:spacing w:line="560" w:lineRule="exact"/>
        <w:ind w:firstLine="840" w:firstLineChars="300"/>
        <w:jc w:val="both"/>
        <w:rPr>
          <w:rFonts w:hint="eastAsia" w:ascii="仿宋_GB2312"/>
          <w:sz w:val="28"/>
          <w:szCs w:val="28"/>
          <w:highlight w:val="none"/>
        </w:rPr>
      </w:pPr>
      <w:r>
        <w:rPr>
          <w:rFonts w:hint="eastAsia" w:ascii="仿宋_GB2312"/>
          <w:sz w:val="28"/>
          <w:szCs w:val="28"/>
          <w:highlight w:val="none"/>
        </w:rPr>
        <w:t>1、研究生国家奖学金由研究生本人向学院评审委员会提出申请，填写《研究生国家奖学金申请审批表》，并提交研究生课程学习成绩单、科研成果及获奖证书等材料的原件及复印件。原件由评审委员会负责核实。《研究生国家奖学金申请审批表》中各栏目按要求填写，其中推荐意见由研究生本人的指导教师负责填写。</w:t>
      </w:r>
    </w:p>
    <w:p>
      <w:pPr>
        <w:spacing w:line="560" w:lineRule="exact"/>
        <w:ind w:left="0" w:leftChars="0" w:firstLine="840" w:firstLineChars="300"/>
        <w:jc w:val="both"/>
        <w:rPr>
          <w:rFonts w:hint="eastAsia" w:ascii="仿宋_GB2312"/>
          <w:sz w:val="28"/>
          <w:szCs w:val="28"/>
          <w:highlight w:val="none"/>
        </w:rPr>
      </w:pPr>
      <w:r>
        <w:rPr>
          <w:rFonts w:hint="eastAsia" w:ascii="仿宋_GB2312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/>
          <w:sz w:val="28"/>
          <w:szCs w:val="28"/>
          <w:highlight w:val="none"/>
        </w:rPr>
        <w:t>经学院评审委员会评审，确定推荐获奖名单，并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在学院内进行</w:t>
      </w:r>
      <w:r>
        <w:rPr>
          <w:rFonts w:hint="eastAsia" w:ascii="仿宋_GB2312"/>
          <w:sz w:val="28"/>
          <w:szCs w:val="28"/>
          <w:highlight w:val="none"/>
        </w:rPr>
        <w:t>不少于5个工作日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的公示</w:t>
      </w:r>
      <w:r>
        <w:rPr>
          <w:rFonts w:hint="eastAsia" w:ascii="仿宋_GB2312"/>
          <w:sz w:val="28"/>
          <w:szCs w:val="28"/>
          <w:highlight w:val="none"/>
        </w:rPr>
        <w:t>。公示期间内有异议者，由学院评审委员会及时研究并予以答复</w:t>
      </w:r>
      <w:r>
        <w:rPr>
          <w:rFonts w:hint="eastAsia" w:ascii="仿宋_GB2312"/>
          <w:sz w:val="28"/>
          <w:szCs w:val="28"/>
          <w:highlight w:val="none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840" w:firstLineChars="300"/>
        <w:jc w:val="both"/>
        <w:rPr>
          <w:rFonts w:hint="eastAsia" w:ascii="仿宋_GB2312"/>
          <w:sz w:val="28"/>
          <w:szCs w:val="28"/>
          <w:highlight w:val="none"/>
        </w:rPr>
      </w:pPr>
      <w:r>
        <w:rPr>
          <w:rFonts w:hint="eastAsia" w:ascii="仿宋_GB2312"/>
          <w:sz w:val="28"/>
          <w:szCs w:val="28"/>
          <w:highlight w:val="none"/>
        </w:rPr>
        <w:t>公示期满后，学院评审委员会将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所有获奖学生的</w:t>
      </w:r>
      <w:r>
        <w:rPr>
          <w:rFonts w:hint="eastAsia" w:ascii="仿宋_GB2312"/>
          <w:sz w:val="28"/>
          <w:szCs w:val="28"/>
          <w:highlight w:val="none"/>
        </w:rPr>
        <w:t>《研究生国家奖学金申请审批表》（含相关证明材料复印件）、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_GB2312"/>
          <w:sz w:val="28"/>
          <w:szCs w:val="28"/>
          <w:highlight w:val="none"/>
        </w:rPr>
        <w:t>《博士研究生国家奖学金推荐名单汇总表》、《硕士研究生国家奖学金推荐名单汇总表》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等材料</w:t>
      </w:r>
      <w:r>
        <w:rPr>
          <w:rFonts w:hint="eastAsia" w:ascii="仿宋_GB2312"/>
          <w:sz w:val="28"/>
          <w:szCs w:val="28"/>
          <w:highlight w:val="none"/>
        </w:rPr>
        <w:t>上报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研究生院审核</w:t>
      </w:r>
      <w:r>
        <w:rPr>
          <w:rFonts w:hint="eastAsia" w:ascii="仿宋_GB2312"/>
          <w:sz w:val="28"/>
          <w:szCs w:val="28"/>
          <w:highlight w:val="none"/>
        </w:rPr>
        <w:t>。</w:t>
      </w:r>
    </w:p>
    <w:p>
      <w:pPr>
        <w:spacing w:line="560" w:lineRule="exact"/>
        <w:ind w:firstLine="0" w:firstLineChars="0"/>
        <w:rPr>
          <w:rFonts w:ascii="仿宋_GB2312"/>
          <w:b/>
          <w:sz w:val="28"/>
          <w:szCs w:val="28"/>
          <w:highlight w:val="none"/>
        </w:rPr>
      </w:pPr>
      <w:r>
        <w:rPr>
          <w:rFonts w:hint="eastAsia" w:ascii="仿宋_GB2312"/>
          <w:b/>
          <w:sz w:val="28"/>
          <w:szCs w:val="28"/>
          <w:highlight w:val="none"/>
        </w:rPr>
        <w:t>四、学院研究生国家奖学金评审委员会</w:t>
      </w:r>
    </w:p>
    <w:p>
      <w:pPr>
        <w:widowControl w:val="0"/>
        <w:spacing w:line="560" w:lineRule="exact"/>
        <w:ind w:left="0" w:leftChars="0" w:firstLine="0" w:firstLineChars="0"/>
        <w:rPr>
          <w:rFonts w:hint="default" w:ascii="仿宋_GB2312" w:eastAsiaTheme="minorEastAsia"/>
          <w:sz w:val="28"/>
          <w:szCs w:val="28"/>
          <w:highlight w:val="none"/>
          <w:lang w:val="en-US" w:eastAsia="zh-Hans"/>
        </w:rPr>
      </w:pPr>
      <w:r>
        <w:rPr>
          <w:rFonts w:hint="eastAsia" w:ascii="仿宋_GB2312"/>
          <w:sz w:val="28"/>
          <w:szCs w:val="28"/>
          <w:highlight w:val="none"/>
        </w:rPr>
        <w:t xml:space="preserve">主任委员：宋晓燕 </w:t>
      </w:r>
    </w:p>
    <w:p>
      <w:pPr>
        <w:widowControl w:val="0"/>
        <w:spacing w:line="560" w:lineRule="exact"/>
        <w:ind w:left="0" w:leftChars="0" w:firstLine="0" w:firstLineChars="0"/>
        <w:rPr>
          <w:rFonts w:hint="default" w:ascii="仿宋_GB2312" w:eastAsiaTheme="minorEastAsia"/>
          <w:sz w:val="28"/>
          <w:szCs w:val="28"/>
          <w:highlight w:val="none"/>
          <w:lang w:val="en-US" w:eastAsia="zh-Hans"/>
        </w:rPr>
      </w:pPr>
      <w:r>
        <w:rPr>
          <w:rFonts w:hint="eastAsia" w:ascii="仿宋_GB2312"/>
          <w:sz w:val="28"/>
          <w:szCs w:val="28"/>
          <w:highlight w:val="none"/>
        </w:rPr>
        <w:t>副主任委员：</w:t>
      </w:r>
      <w:r>
        <w:rPr>
          <w:rFonts w:hint="eastAsia" w:ascii="仿宋_GB2312"/>
          <w:sz w:val="28"/>
          <w:szCs w:val="28"/>
          <w:highlight w:val="none"/>
          <w:lang w:val="en-US" w:eastAsia="zh-Hans"/>
        </w:rPr>
        <w:t>陈硕</w:t>
      </w:r>
      <w:r>
        <w:rPr>
          <w:rFonts w:hint="default" w:ascii="仿宋_GB2312"/>
          <w:sz w:val="28"/>
          <w:szCs w:val="28"/>
          <w:highlight w:val="none"/>
          <w:lang w:eastAsia="zh-Hans"/>
        </w:rPr>
        <w:t xml:space="preserve"> </w:t>
      </w:r>
      <w:r>
        <w:rPr>
          <w:rFonts w:hint="eastAsia" w:ascii="仿宋_GB2312"/>
          <w:sz w:val="28"/>
          <w:szCs w:val="28"/>
          <w:highlight w:val="none"/>
          <w:lang w:val="en-US" w:eastAsia="zh-Hans"/>
        </w:rPr>
        <w:t>朱菊生</w:t>
      </w:r>
    </w:p>
    <w:p>
      <w:pPr>
        <w:widowControl w:val="0"/>
        <w:spacing w:line="560" w:lineRule="exact"/>
        <w:ind w:left="0" w:leftChars="0" w:firstLine="0" w:firstLineChars="0"/>
        <w:rPr>
          <w:rFonts w:ascii="仿宋_GB2312"/>
          <w:sz w:val="28"/>
          <w:szCs w:val="28"/>
          <w:highlight w:val="none"/>
        </w:rPr>
      </w:pPr>
      <w:r>
        <w:rPr>
          <w:rFonts w:hint="eastAsia" w:ascii="仿宋_GB2312"/>
          <w:sz w:val="28"/>
          <w:szCs w:val="28"/>
          <w:highlight w:val="none"/>
        </w:rPr>
        <w:t xml:space="preserve">委    员： 黄睿 </w:t>
      </w:r>
      <w:r>
        <w:rPr>
          <w:rFonts w:ascii="仿宋_GB2312"/>
          <w:sz w:val="28"/>
          <w:szCs w:val="28"/>
          <w:highlight w:val="none"/>
        </w:rPr>
        <w:t xml:space="preserve"> </w:t>
      </w:r>
      <w:r>
        <w:rPr>
          <w:rFonts w:hint="eastAsia" w:ascii="仿宋_GB2312"/>
          <w:sz w:val="28"/>
          <w:szCs w:val="28"/>
          <w:highlight w:val="none"/>
        </w:rPr>
        <w:t xml:space="preserve">院学术委员会代表 </w:t>
      </w:r>
      <w:r>
        <w:rPr>
          <w:rFonts w:ascii="仿宋_GB2312"/>
          <w:sz w:val="28"/>
          <w:szCs w:val="28"/>
          <w:highlight w:val="none"/>
        </w:rPr>
        <w:t xml:space="preserve"> </w:t>
      </w:r>
      <w:r>
        <w:rPr>
          <w:rFonts w:hint="eastAsia" w:ascii="仿宋_GB2312"/>
          <w:sz w:val="28"/>
          <w:szCs w:val="28"/>
          <w:highlight w:val="none"/>
        </w:rPr>
        <w:t>班主任  学生代表</w:t>
      </w:r>
    </w:p>
    <w:p>
      <w:pPr>
        <w:widowControl w:val="0"/>
        <w:spacing w:line="560" w:lineRule="exact"/>
        <w:ind w:left="394" w:leftChars="179" w:right="600" w:firstLine="600" w:firstLineChars="200"/>
        <w:jc w:val="righ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马克思主义学院</w:t>
      </w:r>
      <w:r>
        <w:rPr>
          <w:rFonts w:hint="eastAsia" w:ascii="宋体" w:hAnsi="宋体"/>
          <w:sz w:val="24"/>
          <w:highlight w:val="none"/>
        </w:rPr>
        <w:t xml:space="preserve">                              </w:t>
      </w:r>
    </w:p>
    <w:p>
      <w:pPr>
        <w:spacing w:line="400" w:lineRule="exact"/>
        <w:ind w:right="480"/>
        <w:jc w:val="righ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ascii="宋体" w:hAnsi="宋体"/>
          <w:sz w:val="24"/>
          <w:highlight w:val="none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</w:rPr>
        <w:t xml:space="preserve">  2</w:t>
      </w:r>
      <w:r>
        <w:rPr>
          <w:rFonts w:ascii="宋体" w:hAnsi="宋体"/>
          <w:sz w:val="28"/>
          <w:szCs w:val="28"/>
          <w:highlight w:val="none"/>
        </w:rPr>
        <w:t>02</w:t>
      </w:r>
      <w:r>
        <w:rPr>
          <w:rFonts w:hint="default" w:ascii="宋体" w:hAnsi="宋体"/>
          <w:sz w:val="28"/>
          <w:szCs w:val="28"/>
          <w:highlight w:val="none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default" w:ascii="宋体" w:hAnsi="宋体"/>
          <w:sz w:val="28"/>
          <w:szCs w:val="28"/>
          <w:highlight w:val="none"/>
        </w:rPr>
        <w:t>9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default" w:ascii="宋体" w:hAnsi="宋体"/>
          <w:sz w:val="28"/>
          <w:szCs w:val="28"/>
          <w:highlight w:val="none"/>
        </w:rPr>
        <w:t>2</w:t>
      </w:r>
      <w:r>
        <w:rPr>
          <w:rFonts w:hint="default" w:ascii="宋体" w:hAnsi="宋体"/>
          <w:sz w:val="28"/>
          <w:szCs w:val="28"/>
          <w:highlight w:val="none"/>
        </w:rPr>
        <w:t>9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p>
      <w:pPr>
        <w:jc w:val="center"/>
        <w:rPr>
          <w:rFonts w:ascii="仿宋_GB2312" w:eastAsia="仿宋_GB2312"/>
          <w:b/>
          <w:bCs/>
          <w:sz w:val="36"/>
          <w:szCs w:val="36"/>
          <w:highlight w:val="none"/>
        </w:rPr>
      </w:pPr>
    </w:p>
    <w:p>
      <w:pPr>
        <w:jc w:val="center"/>
        <w:rPr>
          <w:rFonts w:ascii="仿宋_GB2312" w:eastAsia="仿宋_GB2312"/>
          <w:b/>
          <w:bCs/>
          <w:sz w:val="36"/>
          <w:szCs w:val="36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_GoBack"/>
      <w:bookmarkEnd w:id="4"/>
    </w:p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407913"/>
    </w:sdtPr>
    <w:sdtContent>
      <w:p>
        <w:pPr>
          <w:pStyle w:val="4"/>
          <w:ind w:firstLine="44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6176F"/>
    <w:multiLevelType w:val="singleLevel"/>
    <w:tmpl w:val="6D56176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MzNmYTMzYmQ3MDU3ZGY5Yjk3ZGM4YWUzMmI0YzcifQ=="/>
  </w:docVars>
  <w:rsids>
    <w:rsidRoot w:val="663346BA"/>
    <w:rsid w:val="0007425B"/>
    <w:rsid w:val="000A53EC"/>
    <w:rsid w:val="000B513C"/>
    <w:rsid w:val="00180D1C"/>
    <w:rsid w:val="001908D3"/>
    <w:rsid w:val="002547FA"/>
    <w:rsid w:val="003107EA"/>
    <w:rsid w:val="0033147E"/>
    <w:rsid w:val="0037288D"/>
    <w:rsid w:val="00397C11"/>
    <w:rsid w:val="003A1DE2"/>
    <w:rsid w:val="003F26C1"/>
    <w:rsid w:val="00422C82"/>
    <w:rsid w:val="00497854"/>
    <w:rsid w:val="004C1E04"/>
    <w:rsid w:val="004D02E1"/>
    <w:rsid w:val="00533655"/>
    <w:rsid w:val="00566D65"/>
    <w:rsid w:val="00576900"/>
    <w:rsid w:val="006A0AC3"/>
    <w:rsid w:val="006A1808"/>
    <w:rsid w:val="0074716D"/>
    <w:rsid w:val="007C2E94"/>
    <w:rsid w:val="008837DE"/>
    <w:rsid w:val="008C4E66"/>
    <w:rsid w:val="009102D2"/>
    <w:rsid w:val="00986ED5"/>
    <w:rsid w:val="00994B1F"/>
    <w:rsid w:val="009C4F73"/>
    <w:rsid w:val="009F1827"/>
    <w:rsid w:val="00AC7C1C"/>
    <w:rsid w:val="00B44919"/>
    <w:rsid w:val="00B86C30"/>
    <w:rsid w:val="00BB3FA1"/>
    <w:rsid w:val="00BC676F"/>
    <w:rsid w:val="00BD4FC8"/>
    <w:rsid w:val="00C117BF"/>
    <w:rsid w:val="00C648FE"/>
    <w:rsid w:val="00CF12FC"/>
    <w:rsid w:val="00D1040A"/>
    <w:rsid w:val="00D126B9"/>
    <w:rsid w:val="00E46831"/>
    <w:rsid w:val="00E62EFE"/>
    <w:rsid w:val="00E72903"/>
    <w:rsid w:val="00F44F78"/>
    <w:rsid w:val="13026D9D"/>
    <w:rsid w:val="24E6736E"/>
    <w:rsid w:val="36583877"/>
    <w:rsid w:val="417D0C58"/>
    <w:rsid w:val="44DB4327"/>
    <w:rsid w:val="54A4007D"/>
    <w:rsid w:val="56CB198F"/>
    <w:rsid w:val="663346BA"/>
    <w:rsid w:val="6F3535EA"/>
    <w:rsid w:val="749B48DE"/>
    <w:rsid w:val="7DF93C56"/>
    <w:rsid w:val="AFBB2530"/>
    <w:rsid w:val="EEDF9887"/>
    <w:rsid w:val="EFBFD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Balloon Text"/>
    <w:basedOn w:val="1"/>
    <w:link w:val="15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sz w:val="22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sz w:val="22"/>
      <w:szCs w:val="22"/>
    </w:rPr>
  </w:style>
  <w:style w:type="character" w:customStyle="1" w:styleId="15">
    <w:name w:val="批注框文本 字符"/>
    <w:basedOn w:val="9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3861</Words>
  <Characters>4090</Characters>
  <Lines>31</Lines>
  <Paragraphs>8</Paragraphs>
  <TotalTime>0</TotalTime>
  <ScaleCrop>false</ScaleCrop>
  <LinksUpToDate>false</LinksUpToDate>
  <CharactersWithSpaces>4194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2021-09-15T13:39:00Z</dcterms:created>
  <dc:creator>昳如初心</dc:creator>
  <cp:lastModifiedBy>黄睿</cp:lastModifiedBy>
  <dcterms:modified xsi:type="dcterms:W3CDTF">2023-09-28T23:02:28Z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631B26826AE2118C037D1565B18A9FAF</vt:lpwstr>
  </property>
</Properties>
</file>